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A8" w:rsidRDefault="00CA0D7C">
      <w:pPr>
        <w:jc w:val="center"/>
      </w:pPr>
      <w:r>
        <w:t>[CLINICIAN’S LETTERHEAD]</w:t>
      </w:r>
    </w:p>
    <w:p w:rsidR="00C428A8" w:rsidRDefault="00C428A8">
      <w:pPr>
        <w:jc w:val="center"/>
      </w:pPr>
    </w:p>
    <w:p w:rsidR="00C428A8" w:rsidRDefault="00C428A8">
      <w:pPr>
        <w:jc w:val="both"/>
      </w:pPr>
    </w:p>
    <w:p w:rsidR="00C428A8" w:rsidRDefault="00CA0D7C">
      <w:pPr>
        <w:jc w:val="center"/>
      </w:pPr>
      <w:r>
        <w:t>[DATE]</w:t>
      </w:r>
    </w:p>
    <w:p w:rsidR="00C428A8" w:rsidRDefault="00C428A8">
      <w:pPr>
        <w:jc w:val="center"/>
      </w:pPr>
    </w:p>
    <w:p w:rsidR="00C428A8" w:rsidRDefault="00C428A8">
      <w:pPr>
        <w:jc w:val="both"/>
      </w:pPr>
    </w:p>
    <w:p w:rsidR="00C428A8" w:rsidRDefault="00CA0D7C">
      <w:pPr>
        <w:ind w:left="720" w:firstLine="720"/>
        <w:jc w:val="both"/>
      </w:pPr>
      <w:r>
        <w:t>Re:</w:t>
      </w:r>
      <w:r>
        <w:tab/>
      </w:r>
      <w:r>
        <w:tab/>
      </w:r>
      <w:r>
        <w:tab/>
        <w:t>[Child’s Name]</w:t>
      </w:r>
      <w:r>
        <w:tab/>
      </w:r>
    </w:p>
    <w:p w:rsidR="00C428A8" w:rsidRDefault="00CA0D7C">
      <w:pPr>
        <w:ind w:left="2880" w:firstLine="720"/>
        <w:jc w:val="both"/>
      </w:pPr>
      <w:r>
        <w:t>[D.O</w:t>
      </w:r>
      <w:r w:rsidR="00A90F20">
        <w:t>.B.]</w:t>
      </w:r>
      <w:r>
        <w:tab/>
      </w:r>
    </w:p>
    <w:p w:rsidR="00C428A8" w:rsidRDefault="00C428A8">
      <w:pPr>
        <w:jc w:val="both"/>
      </w:pPr>
    </w:p>
    <w:p w:rsidR="00C428A8" w:rsidRDefault="00C428A8">
      <w:pPr>
        <w:jc w:val="both"/>
      </w:pPr>
    </w:p>
    <w:p w:rsidR="00C428A8" w:rsidRDefault="00CA0D7C">
      <w:pPr>
        <w:jc w:val="both"/>
      </w:pPr>
      <w:r>
        <w:t>To whom it may concern: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>[Patient] is a young [boy/girl] with a history of drug-resistant seizures. [S/He] underwent a [left/right] [partial/complete] temporal lobectomy [including resection of the left/right amygdala/hippocampus] to stop seizures caused by [cortical dysplasia/hip</w:t>
      </w:r>
      <w:r>
        <w:t>pocampal sclerosis/tuberous sclerosis/etc].</w:t>
      </w:r>
    </w:p>
    <w:p w:rsidR="00C428A8" w:rsidRDefault="00C428A8">
      <w:pPr>
        <w:jc w:val="both"/>
      </w:pPr>
      <w:bookmarkStart w:id="0" w:name="_GoBack"/>
      <w:bookmarkEnd w:id="0"/>
    </w:p>
    <w:p w:rsidR="00C428A8" w:rsidRDefault="00CA0D7C">
      <w:pPr>
        <w:jc w:val="both"/>
      </w:pPr>
      <w:r>
        <w:t>[Child] is [now/not] seizure-free, [but/and] there may be permanent, unavoidable side effects from the surgery. These include:</w:t>
      </w:r>
    </w:p>
    <w:p w:rsidR="00C428A8" w:rsidRDefault="00C428A8">
      <w:pPr>
        <w:jc w:val="both"/>
      </w:pPr>
    </w:p>
    <w:p w:rsidR="00C428A8" w:rsidRDefault="00CA0D7C">
      <w:pPr>
        <w:jc w:val="both"/>
        <w:rPr>
          <w:b/>
        </w:rPr>
      </w:pPr>
      <w:r>
        <w:rPr>
          <w:b/>
        </w:rPr>
        <w:t>Visual Impairment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>[Child] may have a permanent visual field impairment in the uppe</w:t>
      </w:r>
      <w:r>
        <w:t>r quadrant of the opposite visual field from the removed temporal lobe. This is known as superior quadrantonopia and may include loss of up to ¼ of the foveal vision as well. This visual field loss affects both eyes and is a result of possible disconnectio</w:t>
      </w:r>
      <w:r>
        <w:t>n of Meyer’s loop in the brain.</w:t>
      </w:r>
      <w:r>
        <w:rPr>
          <w:vertAlign w:val="superscript"/>
        </w:rPr>
        <w:footnoteReference w:id="1"/>
      </w:r>
      <w:r>
        <w:t xml:space="preserve"> Assessment to determine this condition should be made using perimetry test (not confrontation examination alone) as patients often report no visual field issues but perimetry test confirms a visual field loss despite unrema</w:t>
      </w:r>
      <w:r>
        <w:t>rkable confrontation examination.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>Please note that this vision loss is not correctable using glasses because it is unrelated to focusing of the lens of the eye. Superior quadrantonopia can affect the [child’s] orientation and mobility in school in various</w:t>
      </w:r>
      <w:r>
        <w:t xml:space="preserve"> static and dynamic environments, as well as [his/her] ability to view text and reading materials. In languages read from left to right, right quadrantonopia may affect a child’s ability to read/learn to read.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>Additionally, because the surgery disrupted b</w:t>
      </w:r>
      <w:r>
        <w:t>oth the dorsal and ventral visual streams of the brain, the child may have visual processing challenges.</w:t>
      </w:r>
      <w:r>
        <w:rPr>
          <w:vertAlign w:val="superscript"/>
        </w:rPr>
        <w:footnoteReference w:id="2"/>
      </w:r>
      <w:r>
        <w:t xml:space="preserve"> A comprehensive visual assessment, including for cortical vision impairment and orientation and mobility, should be performed to determine if the chil</w:t>
      </w:r>
      <w:r>
        <w:t>d is identified as having a visual impairment..</w:t>
      </w:r>
    </w:p>
    <w:p w:rsidR="00C428A8" w:rsidRDefault="00C428A8">
      <w:pPr>
        <w:jc w:val="both"/>
      </w:pPr>
    </w:p>
    <w:p w:rsidR="00C428A8" w:rsidRDefault="00CA0D7C">
      <w:pPr>
        <w:jc w:val="both"/>
        <w:rPr>
          <w:b/>
        </w:rPr>
      </w:pPr>
      <w:r>
        <w:rPr>
          <w:b/>
        </w:rPr>
        <w:t>Hearing Impairment</w:t>
      </w:r>
    </w:p>
    <w:p w:rsidR="00C428A8" w:rsidRDefault="00C428A8">
      <w:pPr>
        <w:jc w:val="both"/>
        <w:rPr>
          <w:b/>
        </w:rPr>
      </w:pPr>
    </w:p>
    <w:p w:rsidR="00C428A8" w:rsidRDefault="00CA0D7C">
      <w:pPr>
        <w:jc w:val="both"/>
      </w:pPr>
      <w:r>
        <w:t>Cortical auditory impairment (also referred to as central hearing loss or central auditory processing disorder/CAPD) is a known challenge after temporal lobectomy.</w:t>
      </w:r>
      <w:r>
        <w:rPr>
          <w:vertAlign w:val="superscript"/>
        </w:rPr>
        <w:footnoteReference w:id="3"/>
      </w:r>
      <w:r>
        <w:t xml:space="preserve"> This is because one auditory cortex - the part of the brain that processes sound - has been removed. 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 xml:space="preserve">The extent and severity of the impairment can vary from child to child, but typically results in mild-to-severe dichotic listening deficits, poor sound </w:t>
      </w:r>
      <w:r>
        <w:t xml:space="preserve">lateralization, difficulty understanding speech in the presence of noise, and sound localization challenges. Research shows that the probability of a decreased performance in a non-dominant-side dichotic test after surgery was 7.5-fold greater in patients </w:t>
      </w:r>
      <w:r>
        <w:t>who underwent surgery on the dominant temporal lobe compared with the nondominant temporal lobe.</w:t>
      </w:r>
      <w:r>
        <w:rPr>
          <w:vertAlign w:val="superscript"/>
        </w:rPr>
        <w:footnoteReference w:id="4"/>
      </w:r>
      <w:r>
        <w:t xml:space="preserve"> 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 xml:space="preserve">Please note that cortical auditory impairment </w:t>
      </w:r>
      <w:r>
        <w:rPr>
          <w:i/>
        </w:rPr>
        <w:t xml:space="preserve">cannot </w:t>
      </w:r>
      <w:r>
        <w:t xml:space="preserve">be detected by a pure-tone hearing test which </w:t>
      </w:r>
      <w:r>
        <w:rPr>
          <w:highlight w:val="white"/>
        </w:rPr>
        <w:t>mainly assesses detection of sounds as a</w:t>
      </w:r>
      <w:r>
        <w:t xml:space="preserve"> peripheral heari</w:t>
      </w:r>
      <w:r>
        <w:t>ng function. A comprehensive auditory assessment, including pure tone hearing test as well as central auditory processing evaluation, should be performed to determine if the child is identified as having a hearing impairment.</w:t>
      </w:r>
    </w:p>
    <w:p w:rsidR="00C428A8" w:rsidRDefault="00C428A8">
      <w:pPr>
        <w:jc w:val="both"/>
        <w:rPr>
          <w:b/>
        </w:rPr>
      </w:pPr>
    </w:p>
    <w:p w:rsidR="00C428A8" w:rsidRDefault="00CA0D7C">
      <w:pPr>
        <w:jc w:val="both"/>
        <w:rPr>
          <w:b/>
        </w:rPr>
      </w:pPr>
      <w:r>
        <w:rPr>
          <w:b/>
        </w:rPr>
        <w:t>Speech</w:t>
      </w:r>
      <w:r>
        <w:t xml:space="preserve"> </w:t>
      </w:r>
      <w:r>
        <w:rPr>
          <w:b/>
        </w:rPr>
        <w:t>and Communication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>The</w:t>
      </w:r>
      <w:r>
        <w:t xml:space="preserve"> temporal lobe holds the primary auditory cortex, which is important for the processing of semantics of speech and plays a key role in speech comprehension.</w:t>
      </w:r>
      <w:r>
        <w:rPr>
          <w:vertAlign w:val="superscript"/>
        </w:rPr>
        <w:footnoteReference w:id="5"/>
      </w:r>
      <w:r>
        <w:t xml:space="preserve"> [Child] may have receptive or expressive speech and communication challenges,  related either to t</w:t>
      </w:r>
      <w:r>
        <w:t>he epilepsy or temporal lobe resection, or both. A comprehensive speech evaluation is thus recommended to determine if the child is identified as having a speech and/or communication impairment.</w:t>
      </w:r>
    </w:p>
    <w:p w:rsidR="00C428A8" w:rsidRDefault="00C428A8">
      <w:pPr>
        <w:jc w:val="both"/>
      </w:pPr>
    </w:p>
    <w:p w:rsidR="00C428A8" w:rsidRDefault="00CA0D7C">
      <w:pPr>
        <w:jc w:val="both"/>
        <w:rPr>
          <w:b/>
        </w:rPr>
      </w:pPr>
      <w:r>
        <w:rPr>
          <w:b/>
        </w:rPr>
        <w:t>Other Health Impairments</w:t>
      </w:r>
    </w:p>
    <w:p w:rsidR="00C428A8" w:rsidRDefault="00C428A8">
      <w:pPr>
        <w:ind w:left="2160"/>
        <w:jc w:val="both"/>
        <w:rPr>
          <w:i/>
          <w:sz w:val="18"/>
          <w:szCs w:val="18"/>
        </w:rPr>
      </w:pPr>
    </w:p>
    <w:p w:rsidR="00C428A8" w:rsidRDefault="00CA0D7C">
      <w:pPr>
        <w:ind w:firstLine="720"/>
        <w:jc w:val="both"/>
      </w:pPr>
      <w:r>
        <w:rPr>
          <w:b/>
        </w:rPr>
        <w:t xml:space="preserve">Fatigue  </w:t>
      </w:r>
      <w:r>
        <w:t xml:space="preserve">[Child] may have general </w:t>
      </w:r>
      <w:r>
        <w:t xml:space="preserve">fatigue, as well as decreased cognitive and physical stamina as a result of the surgery. </w:t>
      </w:r>
    </w:p>
    <w:p w:rsidR="00C428A8" w:rsidRDefault="00C428A8">
      <w:pPr>
        <w:ind w:firstLine="720"/>
        <w:jc w:val="both"/>
      </w:pPr>
    </w:p>
    <w:p w:rsidR="00C428A8" w:rsidRDefault="00CA0D7C">
      <w:pPr>
        <w:ind w:firstLine="720"/>
        <w:jc w:val="both"/>
      </w:pPr>
      <w:r>
        <w:rPr>
          <w:b/>
        </w:rPr>
        <w:t xml:space="preserve">Seizures  </w:t>
      </w:r>
      <w:r>
        <w:t xml:space="preserve">[Child] may have have a return of seizures at any time. [S/He] should have a seizure action plan and a complex care plan in place. </w:t>
      </w:r>
    </w:p>
    <w:p w:rsidR="00C428A8" w:rsidRDefault="00C428A8">
      <w:pPr>
        <w:jc w:val="both"/>
      </w:pPr>
    </w:p>
    <w:p w:rsidR="00C428A8" w:rsidRDefault="00CA0D7C">
      <w:pPr>
        <w:ind w:firstLine="720"/>
        <w:jc w:val="both"/>
      </w:pPr>
      <w:r>
        <w:rPr>
          <w:b/>
        </w:rPr>
        <w:lastRenderedPageBreak/>
        <w:t xml:space="preserve">Hydrocephalus  </w:t>
      </w:r>
      <w:r>
        <w:t>[Child]</w:t>
      </w:r>
      <w:r>
        <w:t xml:space="preserve"> is at a small risk of hydrocephalus [or presently has shunt and concerns about shunt failure].</w:t>
      </w:r>
      <w:r>
        <w:rPr>
          <w:vertAlign w:val="superscript"/>
        </w:rPr>
        <w:footnoteReference w:id="6"/>
      </w:r>
      <w:r>
        <w:t xml:space="preserve"> The warning signs of hydrocephalus [or shunt failure] include, but are not limited to, headache, vomiting, sleepiness, cognitive decline, blurry vision, seizur</w:t>
      </w:r>
      <w:r>
        <w:t>es, and/or behavioral changes.</w:t>
      </w:r>
    </w:p>
    <w:p w:rsidR="00C428A8" w:rsidRDefault="00CA0D7C">
      <w:pPr>
        <w:ind w:firstLine="720"/>
        <w:jc w:val="both"/>
      </w:pPr>
      <w:r>
        <w:t xml:space="preserve"> </w:t>
      </w:r>
    </w:p>
    <w:p w:rsidR="00C428A8" w:rsidRDefault="00CA0D7C">
      <w:pPr>
        <w:ind w:firstLine="720"/>
        <w:jc w:val="both"/>
      </w:pPr>
      <w:r>
        <w:rPr>
          <w:b/>
        </w:rPr>
        <w:t xml:space="preserve">ADHD  </w:t>
      </w:r>
      <w:r>
        <w:t>[Child] may have challenges with higher executive function skills, We often see heightened auditory distractibility, attention concerns, or attention deficit hyperactivity or inattentive disorder (ADHD/ADID) post-oper</w:t>
      </w:r>
      <w:r>
        <w:t>atively. Child may have hyperkinesis, perseverate, and/or self-stimulate. If parents are concerned, a comprehensive evaluation to determine whether child is identified as having ADHD should be performed.</w:t>
      </w:r>
    </w:p>
    <w:p w:rsidR="00C428A8" w:rsidRDefault="00C428A8">
      <w:pPr>
        <w:jc w:val="both"/>
      </w:pPr>
    </w:p>
    <w:p w:rsidR="00C428A8" w:rsidRDefault="00CA0D7C">
      <w:pPr>
        <w:jc w:val="both"/>
        <w:rPr>
          <w:b/>
        </w:rPr>
      </w:pPr>
      <w:r>
        <w:rPr>
          <w:b/>
        </w:rPr>
        <w:t>Specific Learning Disability or Intellectual Disabi</w:t>
      </w:r>
      <w:r>
        <w:rPr>
          <w:b/>
        </w:rPr>
        <w:t>lity</w:t>
      </w:r>
    </w:p>
    <w:p w:rsidR="00C428A8" w:rsidRDefault="00C428A8">
      <w:pPr>
        <w:jc w:val="both"/>
        <w:rPr>
          <w:b/>
        </w:rPr>
      </w:pPr>
    </w:p>
    <w:p w:rsidR="00C428A8" w:rsidRDefault="00CA0D7C">
      <w:r>
        <w:t>Children with temporal lobe epilepsy are at risk of reading difficulties involving accuracy and comprehension.</w:t>
      </w:r>
      <w:r>
        <w:rPr>
          <w:vertAlign w:val="superscript"/>
        </w:rPr>
        <w:footnoteReference w:id="7"/>
      </w:r>
      <w:r>
        <w:t xml:space="preserve">  Verbal memory, semantic memory, naming, emotional perception can be impacted as well.</w:t>
      </w:r>
    </w:p>
    <w:p w:rsidR="00C428A8" w:rsidRDefault="00C428A8"/>
    <w:p w:rsidR="00C428A8" w:rsidRDefault="00CA0D7C">
      <w:r>
        <w:t>Please note that temporal lobe surgery and removing anti-epileptic drug use is known to increase intellectual quotient over time in most children. [Child] may experience a drop in intellectual quotient immediately following surgery, followed by a slow upwa</w:t>
      </w:r>
      <w:r>
        <w:t>rd trend as far as six years after or more, with a possible significant jump in IQ eight years or more after surgery.</w:t>
      </w:r>
      <w:r>
        <w:rPr>
          <w:vertAlign w:val="superscript"/>
        </w:rPr>
        <w:footnoteReference w:id="8"/>
      </w:r>
      <w:r>
        <w:t xml:space="preserve"> 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 xml:space="preserve">If parents are concerned about specific learning disability or intellectual disability, a neuropsychological evaluation is recommended </w:t>
      </w:r>
      <w:r>
        <w:t xml:space="preserve">annually to fully understand these challenges as well as IQ trajectory as respects [Child], and to see if he/she is a child identified as having specific learning disability or intellectual disability requiring intensive instructional interventions. 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rPr>
          <w:b/>
        </w:rPr>
        <w:t>Auti</w:t>
      </w:r>
      <w:r>
        <w:rPr>
          <w:b/>
        </w:rPr>
        <w:t>sm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>Autism and epilepsy, even if seizures are controlled, often occur together.</w:t>
      </w:r>
      <w:r>
        <w:rPr>
          <w:vertAlign w:val="superscript"/>
        </w:rPr>
        <w:footnoteReference w:id="9"/>
      </w:r>
      <w:r>
        <w:t xml:space="preserve"> If parents are concerned, [Child] should be evaluated to see if he/she is a child identified as having autism.  </w:t>
      </w:r>
    </w:p>
    <w:p w:rsidR="00C428A8" w:rsidRDefault="00C428A8">
      <w:pPr>
        <w:jc w:val="both"/>
      </w:pPr>
    </w:p>
    <w:p w:rsidR="00C428A8" w:rsidRDefault="00CA0D7C">
      <w:pPr>
        <w:jc w:val="both"/>
        <w:rPr>
          <w:b/>
        </w:rPr>
      </w:pPr>
      <w:r>
        <w:rPr>
          <w:b/>
        </w:rPr>
        <w:t>Behavior</w:t>
      </w:r>
    </w:p>
    <w:p w:rsidR="00C428A8" w:rsidRDefault="00C428A8">
      <w:pPr>
        <w:jc w:val="both"/>
      </w:pPr>
    </w:p>
    <w:p w:rsidR="00C428A8" w:rsidRDefault="00CA0D7C">
      <w:pPr>
        <w:jc w:val="both"/>
      </w:pPr>
      <w:r>
        <w:t>Children with epilepsy often have behavior challeng</w:t>
      </w:r>
      <w:r>
        <w:t>es, even after surgery, or if medications are weaned. Surgery, however, often improves behaviors in most children.</w:t>
      </w:r>
      <w:r>
        <w:rPr>
          <w:vertAlign w:val="superscript"/>
        </w:rPr>
        <w:footnoteReference w:id="10"/>
      </w:r>
      <w:r>
        <w:t xml:space="preserve"> If parents are </w:t>
      </w:r>
      <w:r>
        <w:lastRenderedPageBreak/>
        <w:t>concerned, proper evaluations should be conducted to determine if the child’s behaviors affect [his/her] ability to access th</w:t>
      </w:r>
      <w:r>
        <w:t xml:space="preserve">e educational environment or present safety concerns. </w:t>
      </w:r>
    </w:p>
    <w:p w:rsidR="00C428A8" w:rsidRDefault="00C428A8"/>
    <w:p w:rsidR="00C428A8" w:rsidRDefault="00CA0D7C">
      <w:r>
        <w:t>If you have any questions, please do not hesitate to contact me.</w:t>
      </w:r>
    </w:p>
    <w:p w:rsidR="00C428A8" w:rsidRDefault="00C428A8"/>
    <w:p w:rsidR="00C428A8" w:rsidRDefault="00CA0D7C"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C428A8" w:rsidRDefault="00C428A8"/>
    <w:p w:rsidR="00C428A8" w:rsidRDefault="00CA0D7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8A8" w:rsidRDefault="00C428A8"/>
    <w:p w:rsidR="00C428A8" w:rsidRDefault="00C428A8"/>
    <w:p w:rsidR="00C428A8" w:rsidRDefault="00C428A8"/>
    <w:p w:rsidR="00C428A8" w:rsidRDefault="00CA0D7C">
      <w:r>
        <w:tab/>
      </w:r>
      <w:r>
        <w:tab/>
      </w:r>
      <w:r>
        <w:tab/>
      </w:r>
      <w:r>
        <w:tab/>
      </w:r>
      <w:r>
        <w:tab/>
      </w:r>
      <w:r>
        <w:tab/>
        <w:t>/s/</w:t>
      </w:r>
    </w:p>
    <w:p w:rsidR="00C428A8" w:rsidRDefault="00CA0D7C">
      <w:r>
        <w:tab/>
      </w:r>
      <w:r>
        <w:tab/>
      </w:r>
      <w:r>
        <w:tab/>
      </w:r>
      <w:r>
        <w:tab/>
      </w:r>
      <w:r>
        <w:tab/>
      </w:r>
      <w:r>
        <w:tab/>
        <w:t>Neurologist or Neurosurgeon</w:t>
      </w:r>
    </w:p>
    <w:p w:rsidR="00C428A8" w:rsidRDefault="00C428A8">
      <w:pPr>
        <w:spacing w:line="240" w:lineRule="auto"/>
        <w:jc w:val="both"/>
        <w:rPr>
          <w:b/>
          <w:i/>
          <w:sz w:val="20"/>
          <w:szCs w:val="20"/>
        </w:rPr>
      </w:pPr>
    </w:p>
    <w:p w:rsidR="00C428A8" w:rsidRDefault="00C428A8">
      <w:pPr>
        <w:spacing w:line="240" w:lineRule="auto"/>
        <w:jc w:val="both"/>
        <w:rPr>
          <w:b/>
          <w:i/>
          <w:sz w:val="20"/>
          <w:szCs w:val="20"/>
        </w:rPr>
      </w:pPr>
    </w:p>
    <w:p w:rsidR="00C428A8" w:rsidRDefault="00C428A8">
      <w:pPr>
        <w:spacing w:line="240" w:lineRule="auto"/>
        <w:jc w:val="both"/>
        <w:rPr>
          <w:i/>
        </w:rPr>
      </w:pPr>
    </w:p>
    <w:sectPr w:rsidR="00C428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7C" w:rsidRDefault="00CA0D7C">
      <w:pPr>
        <w:spacing w:line="240" w:lineRule="auto"/>
      </w:pPr>
      <w:r>
        <w:separator/>
      </w:r>
    </w:p>
  </w:endnote>
  <w:endnote w:type="continuationSeparator" w:id="0">
    <w:p w:rsidR="00CA0D7C" w:rsidRDefault="00CA0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7C" w:rsidRDefault="00CA0D7C">
      <w:pPr>
        <w:spacing w:line="240" w:lineRule="auto"/>
      </w:pPr>
      <w:r>
        <w:separator/>
      </w:r>
    </w:p>
  </w:footnote>
  <w:footnote w:type="continuationSeparator" w:id="0">
    <w:p w:rsidR="00CA0D7C" w:rsidRDefault="00CA0D7C">
      <w:pPr>
        <w:spacing w:line="240" w:lineRule="auto"/>
      </w:pPr>
      <w:r>
        <w:continuationSeparator/>
      </w:r>
    </w:p>
  </w:footnote>
  <w:footnote w:id="1">
    <w:p w:rsidR="00C428A8" w:rsidRDefault="00CA0D7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Steensberg, Alvilda T. et al. Visual field defects after temporal lobe resection for epilepsy, Seizure - European Journal of Epilepsy , 2017 Volume 54 , 1 - 6</w:t>
      </w:r>
    </w:p>
  </w:footnote>
  <w:footnote w:id="2">
    <w:p w:rsidR="00C428A8" w:rsidRDefault="00CA0D7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33333"/>
          <w:sz w:val="16"/>
          <w:szCs w:val="16"/>
          <w:highlight w:val="white"/>
        </w:rPr>
        <w:t>Dutton, G.N.  (2009), ‘Dorsal stream dysfunction’ and ‘dorsal stream dysfunction plus’: a potential classificatio</w:t>
      </w:r>
      <w:r>
        <w:rPr>
          <w:color w:val="333333"/>
          <w:sz w:val="16"/>
          <w:szCs w:val="16"/>
          <w:highlight w:val="white"/>
        </w:rPr>
        <w:t>n for perceptual visual impairment in the context of cerebral visual impairment?. Developmental Medicine &amp; Child Neurology, 51: 170–172.</w:t>
      </w:r>
      <w:r>
        <w:rPr>
          <w:sz w:val="16"/>
          <w:szCs w:val="16"/>
        </w:rPr>
        <w:t xml:space="preserve"> </w:t>
      </w:r>
    </w:p>
  </w:footnote>
  <w:footnote w:id="3">
    <w:p w:rsidR="00C428A8" w:rsidRDefault="00CA0D7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Nagle S, Musiek FE, Kossoff EH  Auditory processing following consecutive right temporal lobe resections: a prospective case study. J Am Acad Audiol. 2013 Jul-Aug;</w:t>
      </w:r>
      <w:r>
        <w:rPr>
          <w:sz w:val="16"/>
          <w:szCs w:val="16"/>
        </w:rPr>
        <w:t xml:space="preserve">24(7):535- 43. </w:t>
      </w:r>
    </w:p>
  </w:footnote>
  <w:footnote w:id="4">
    <w:p w:rsidR="00C428A8" w:rsidRDefault="00CA0D7C">
      <w:pPr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Han SH, Lee EM, Choi EJ, Ryu HU, Kang JK, Chung JW. Changes in Central Auditory Processing in Patients with Mesial Temporal Lobe Epilepsy after Anterior Temporal Lobectomy with Amygdalohippocampectomy.   J Clin Neurol. 2016 Apr;12(2):151-159. </w:t>
      </w:r>
    </w:p>
  </w:footnote>
  <w:footnote w:id="5">
    <w:p w:rsidR="00C428A8" w:rsidRDefault="00CA0D7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222222"/>
          <w:sz w:val="16"/>
          <w:szCs w:val="16"/>
        </w:rPr>
        <w:t xml:space="preserve">Hickok, Gregory; Poeppel, David (May 2007). "The Cortical Organization of Speech Processing". </w:t>
      </w:r>
      <w:r>
        <w:rPr>
          <w:i/>
          <w:color w:val="222222"/>
          <w:sz w:val="16"/>
          <w:szCs w:val="16"/>
        </w:rPr>
        <w:t>Nature Reviews Neuroscience</w:t>
      </w:r>
      <w:r>
        <w:rPr>
          <w:color w:val="222222"/>
          <w:sz w:val="16"/>
          <w:szCs w:val="16"/>
        </w:rPr>
        <w:t xml:space="preserve">. 8(5): 393–402. </w:t>
      </w:r>
    </w:p>
  </w:footnote>
  <w:footnote w:id="6">
    <w:p w:rsidR="00C428A8" w:rsidRDefault="00CA0D7C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>Jutila L, Immonen A, Mervaala E, et al. Long term outcome of temporal lobe epilepsy surgery: analyses of 140 consecutive patients. Journal of Neurology, Neurosurgery &amp; Psychiatry 2002;73:486-494.</w:t>
      </w:r>
    </w:p>
  </w:footnote>
  <w:footnote w:id="7">
    <w:p w:rsidR="00C428A8" w:rsidRDefault="00CA0D7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  <w:highlight w:val="white"/>
        </w:rPr>
        <w:t>Lah S, Cas</w:t>
      </w:r>
      <w:r>
        <w:rPr>
          <w:sz w:val="16"/>
          <w:szCs w:val="16"/>
          <w:highlight w:val="white"/>
        </w:rPr>
        <w:t xml:space="preserve">tles A, Smith ML. Reading in children with temporal lobe epilepsy: A systematic review. Epilepsy Behav. 2017 Mar;68:84-94. </w:t>
      </w:r>
    </w:p>
  </w:footnote>
  <w:footnote w:id="8">
    <w:p w:rsidR="00C428A8" w:rsidRDefault="00CA0D7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Skirrow C, Cross JH, Cormack F, Harkness W, Vargha-Khadem F, Baldeweg T. Long-term intellectua</w:t>
      </w:r>
      <w:r>
        <w:rPr>
          <w:sz w:val="16"/>
          <w:szCs w:val="16"/>
        </w:rPr>
        <w:t xml:space="preserve">l outcome after temporal lobe surgery in childhood. Neurology. 2011 Apr 12;76(15):1330-7. </w:t>
      </w:r>
    </w:p>
  </w:footnote>
  <w:footnote w:id="9">
    <w:p w:rsidR="00C428A8" w:rsidRDefault="00CA0D7C">
      <w:pPr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>Roberto Tuchman (2015) Autism and Cognition Within Epilepsy: Social Matters. Epilepsy Currents: July/August, Vol. 15, No. 4, pp. 2</w:t>
      </w:r>
      <w:r>
        <w:rPr>
          <w:sz w:val="16"/>
          <w:szCs w:val="16"/>
        </w:rPr>
        <w:t>02-205.</w:t>
      </w:r>
    </w:p>
  </w:footnote>
  <w:footnote w:id="10">
    <w:p w:rsidR="00C428A8" w:rsidRDefault="00CA0D7C">
      <w:pPr>
        <w:spacing w:line="240" w:lineRule="auto"/>
        <w:rPr>
          <w:color w:val="333333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33333"/>
          <w:sz w:val="16"/>
          <w:szCs w:val="16"/>
        </w:rPr>
        <w:t>Lendt M, Helmstaedter C, Kuczaty S</w:t>
      </w:r>
      <w:r>
        <w:rPr>
          <w:i/>
          <w:color w:val="333333"/>
          <w:sz w:val="16"/>
          <w:szCs w:val="16"/>
        </w:rPr>
        <w:t xml:space="preserve">, et al </w:t>
      </w:r>
      <w:r>
        <w:rPr>
          <w:color w:val="333333"/>
          <w:sz w:val="16"/>
          <w:szCs w:val="16"/>
        </w:rPr>
        <w:t>Behavi</w:t>
      </w:r>
      <w:r>
        <w:rPr>
          <w:color w:val="333333"/>
          <w:sz w:val="16"/>
          <w:szCs w:val="16"/>
        </w:rPr>
        <w:t>oural disorders in children with epilepsy: early improvement after surgery</w:t>
      </w:r>
    </w:p>
    <w:p w:rsidR="00C428A8" w:rsidRDefault="00CA0D7C">
      <w:pPr>
        <w:spacing w:line="240" w:lineRule="auto"/>
        <w:rPr>
          <w:color w:val="333333"/>
          <w:sz w:val="16"/>
          <w:szCs w:val="16"/>
        </w:rPr>
      </w:pPr>
      <w:r>
        <w:rPr>
          <w:i/>
          <w:color w:val="333333"/>
          <w:sz w:val="16"/>
          <w:szCs w:val="16"/>
        </w:rPr>
        <w:t xml:space="preserve">Journal of Neurology, Neurosurgery &amp; Psychiatry </w:t>
      </w:r>
      <w:r>
        <w:rPr>
          <w:color w:val="333333"/>
          <w:sz w:val="16"/>
          <w:szCs w:val="16"/>
        </w:rPr>
        <w:t>2000;69:739-744.</w:t>
      </w:r>
    </w:p>
    <w:p w:rsidR="00C428A8" w:rsidRDefault="00C428A8">
      <w:pPr>
        <w:spacing w:line="240" w:lineRule="aut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8A8"/>
    <w:rsid w:val="00A90F20"/>
    <w:rsid w:val="00C428A8"/>
    <w:rsid w:val="00C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4D67"/>
  <w15:docId w15:val="{7B16662F-A5E8-4C66-B1CE-529C2240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kylee james</cp:lastModifiedBy>
  <cp:revision>2</cp:revision>
  <dcterms:created xsi:type="dcterms:W3CDTF">2018-01-18T21:29:00Z</dcterms:created>
  <dcterms:modified xsi:type="dcterms:W3CDTF">2018-01-18T21:30:00Z</dcterms:modified>
</cp:coreProperties>
</file>